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4642AE" w:rsidRDefault="004642AE" w:rsidP="004642AE">
      <w:pPr>
        <w:spacing w:after="0" w:line="240" w:lineRule="auto"/>
      </w:pPr>
      <w:r>
        <w:rPr>
          <w:b/>
        </w:rPr>
        <w:t>E-Mail:</w:t>
      </w:r>
      <w:r>
        <w:t xml:space="preserve"> Sales@FascoEpoxies.com</w:t>
      </w:r>
    </w:p>
    <w:p w:rsidR="004642AE" w:rsidRDefault="004642AE" w:rsidP="004642AE">
      <w:pPr>
        <w:spacing w:after="0" w:line="240" w:lineRule="auto"/>
      </w:pPr>
      <w:r>
        <w:rPr>
          <w:b/>
        </w:rPr>
        <w:t>Customer Service:</w:t>
      </w:r>
      <w:r>
        <w:t xml:space="preserve"> (305) 821-9441 </w:t>
      </w:r>
    </w:p>
    <w:p w:rsidR="002D0ADD" w:rsidRDefault="002D0ADD" w:rsidP="002D0ADD">
      <w:pPr>
        <w:spacing w:after="0" w:line="240" w:lineRule="auto"/>
        <w:rPr>
          <w:b/>
        </w:rPr>
      </w:pPr>
      <w:bookmarkStart w:id="0" w:name="_GoBack"/>
      <w:bookmarkEnd w:id="0"/>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E42661">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172825">
        <w:t xml:space="preserve">34 Casting </w:t>
      </w:r>
      <w:r w:rsidR="001B114E">
        <w:t>Epoxy</w:t>
      </w:r>
      <w:r w:rsidR="00E3415A">
        <w:t xml:space="preserve"> Part </w:t>
      </w:r>
      <w:r w:rsidR="00AE00D2">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172825">
        <w:t>34</w:t>
      </w:r>
      <w:r w:rsidR="00AE00D2">
        <w:t xml:space="preserve"> Part 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83224C"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24C" w:rsidRDefault="0083224C" w:rsidP="00D00B10">
      <w:pPr>
        <w:spacing w:after="0" w:line="240" w:lineRule="auto"/>
      </w:pPr>
      <w:r>
        <w:separator/>
      </w:r>
    </w:p>
  </w:endnote>
  <w:endnote w:type="continuationSeparator" w:id="0">
    <w:p w:rsidR="0083224C" w:rsidRDefault="0083224C"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292E59">
              <w:rPr>
                <w:b/>
                <w:sz w:val="24"/>
                <w:szCs w:val="24"/>
              </w:rPr>
              <w:fldChar w:fldCharType="begin"/>
            </w:r>
            <w:r>
              <w:rPr>
                <w:b/>
              </w:rPr>
              <w:instrText xml:space="preserve"> PAGE </w:instrText>
            </w:r>
            <w:r w:rsidR="00292E59">
              <w:rPr>
                <w:b/>
                <w:sz w:val="24"/>
                <w:szCs w:val="24"/>
              </w:rPr>
              <w:fldChar w:fldCharType="separate"/>
            </w:r>
            <w:r w:rsidR="002360E1">
              <w:rPr>
                <w:b/>
                <w:noProof/>
              </w:rPr>
              <w:t>1</w:t>
            </w:r>
            <w:r w:rsidR="00292E59">
              <w:rPr>
                <w:b/>
                <w:sz w:val="24"/>
                <w:szCs w:val="24"/>
              </w:rPr>
              <w:fldChar w:fldCharType="end"/>
            </w:r>
            <w:r>
              <w:t xml:space="preserve"> of </w:t>
            </w:r>
            <w:r w:rsidR="00292E59">
              <w:rPr>
                <w:b/>
                <w:sz w:val="24"/>
                <w:szCs w:val="24"/>
              </w:rPr>
              <w:fldChar w:fldCharType="begin"/>
            </w:r>
            <w:r>
              <w:rPr>
                <w:b/>
              </w:rPr>
              <w:instrText xml:space="preserve"> NUMPAGES  </w:instrText>
            </w:r>
            <w:r w:rsidR="00292E59">
              <w:rPr>
                <w:b/>
                <w:sz w:val="24"/>
                <w:szCs w:val="24"/>
              </w:rPr>
              <w:fldChar w:fldCharType="separate"/>
            </w:r>
            <w:r w:rsidR="002360E1">
              <w:rPr>
                <w:b/>
                <w:noProof/>
              </w:rPr>
              <w:t>6</w:t>
            </w:r>
            <w:r w:rsidR="00292E59">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24C" w:rsidRDefault="0083224C" w:rsidP="00D00B10">
      <w:pPr>
        <w:spacing w:after="0" w:line="240" w:lineRule="auto"/>
      </w:pPr>
      <w:r>
        <w:separator/>
      </w:r>
    </w:p>
  </w:footnote>
  <w:footnote w:type="continuationSeparator" w:id="0">
    <w:p w:rsidR="0083224C" w:rsidRDefault="0083224C"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172825">
      <w:rPr>
        <w:rFonts w:ascii="Arial" w:hAnsi="Arial" w:cs="Arial"/>
        <w:b/>
        <w:sz w:val="24"/>
      </w:rPr>
      <w:t xml:space="preserve">34 Casting </w:t>
    </w:r>
    <w:r w:rsidR="001B114E">
      <w:rPr>
        <w:rFonts w:ascii="Arial" w:hAnsi="Arial" w:cs="Arial"/>
        <w:b/>
        <w:sz w:val="24"/>
      </w:rPr>
      <w:t xml:space="preserve">Epoxy </w:t>
    </w:r>
    <w:r w:rsidR="00AE00D2">
      <w:rPr>
        <w:rFonts w:ascii="Arial" w:hAnsi="Arial" w:cs="Arial"/>
        <w:b/>
        <w:sz w:val="24"/>
      </w:rPr>
      <w:t>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F77F4"/>
    <w:rsid w:val="001116FA"/>
    <w:rsid w:val="00123F6E"/>
    <w:rsid w:val="00140400"/>
    <w:rsid w:val="00172825"/>
    <w:rsid w:val="00186E77"/>
    <w:rsid w:val="001B114E"/>
    <w:rsid w:val="001C63FF"/>
    <w:rsid w:val="0020693F"/>
    <w:rsid w:val="00215974"/>
    <w:rsid w:val="002360E1"/>
    <w:rsid w:val="00292E59"/>
    <w:rsid w:val="002D0ADD"/>
    <w:rsid w:val="002F2837"/>
    <w:rsid w:val="003A5867"/>
    <w:rsid w:val="003B012A"/>
    <w:rsid w:val="004360D6"/>
    <w:rsid w:val="004642AE"/>
    <w:rsid w:val="004F72DB"/>
    <w:rsid w:val="00547502"/>
    <w:rsid w:val="005A5EEE"/>
    <w:rsid w:val="00636851"/>
    <w:rsid w:val="00642F76"/>
    <w:rsid w:val="00667650"/>
    <w:rsid w:val="007343A1"/>
    <w:rsid w:val="007B674D"/>
    <w:rsid w:val="00814DA2"/>
    <w:rsid w:val="0083224C"/>
    <w:rsid w:val="008324EC"/>
    <w:rsid w:val="00870823"/>
    <w:rsid w:val="00915A42"/>
    <w:rsid w:val="00923417"/>
    <w:rsid w:val="00933FDE"/>
    <w:rsid w:val="009C705F"/>
    <w:rsid w:val="009D0481"/>
    <w:rsid w:val="009F3BFA"/>
    <w:rsid w:val="009F5CA5"/>
    <w:rsid w:val="00AE00D2"/>
    <w:rsid w:val="00CA0563"/>
    <w:rsid w:val="00D00B10"/>
    <w:rsid w:val="00DA38AE"/>
    <w:rsid w:val="00DC4012"/>
    <w:rsid w:val="00E3415A"/>
    <w:rsid w:val="00E37EF3"/>
    <w:rsid w:val="00E42661"/>
    <w:rsid w:val="00F22C46"/>
    <w:rsid w:val="00F271FC"/>
    <w:rsid w:val="00FE102F"/>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80D4D6-CDDE-46E4-AD4D-A39B91F2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23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14276-E307-49E2-826C-B367BCB90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8</cp:revision>
  <cp:lastPrinted>2016-07-29T18:22:00Z</cp:lastPrinted>
  <dcterms:created xsi:type="dcterms:W3CDTF">2015-12-30T13:24:00Z</dcterms:created>
  <dcterms:modified xsi:type="dcterms:W3CDTF">2016-07-29T18:22:00Z</dcterms:modified>
</cp:coreProperties>
</file>