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bookmarkStart w:id="0" w:name="_GoBack"/>
            <w:bookmarkEnd w:id="0"/>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w:t>
      </w:r>
      <w:r w:rsidR="009819E4">
        <w:t>Sales@FascoEpoxies.com</w:t>
      </w:r>
    </w:p>
    <w:p w:rsidR="002D0ADD" w:rsidRDefault="002D0ADD" w:rsidP="002D0ADD">
      <w:pPr>
        <w:spacing w:after="0" w:line="240" w:lineRule="auto"/>
      </w:pPr>
      <w:r w:rsidRPr="002D0ADD">
        <w:rPr>
          <w:b/>
        </w:rPr>
        <w:t>Customer Service:</w:t>
      </w:r>
      <w:r w:rsidR="009819E4">
        <w:t xml:space="preserve"> (305) 8</w:t>
      </w:r>
      <w:r w:rsidRPr="002D0ADD">
        <w:t xml:space="preserve">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BB478E">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w:t>
      </w:r>
      <w:r w:rsidR="004C1D8A">
        <w:t>7</w:t>
      </w:r>
      <w:r w:rsidR="00244667">
        <w:t xml:space="preserve"> Fas-</w:t>
      </w:r>
      <w:r w:rsidR="004C1D8A">
        <w:t>Stone</w:t>
      </w:r>
      <w:r w:rsidRPr="002D0ADD">
        <w:t xml:space="preserve"> Part </w:t>
      </w:r>
      <w:r w:rsidR="004C7F75">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w:t>
      </w:r>
      <w:r w:rsidR="003645E5">
        <w:t>7</w:t>
      </w:r>
      <w:r w:rsidR="00DF2CE8">
        <w:t xml:space="preserve"> Part 2</w:t>
      </w:r>
    </w:p>
    <w:p w:rsidR="002D0ADD" w:rsidRDefault="002D0ADD" w:rsidP="002D0ADD">
      <w:pPr>
        <w:tabs>
          <w:tab w:val="left" w:pos="2350"/>
        </w:tabs>
        <w:spacing w:after="0" w:line="240" w:lineRule="auto"/>
      </w:pPr>
      <w:r w:rsidRPr="002D0ADD">
        <w:rPr>
          <w:b/>
        </w:rPr>
        <w:t>Synonyms:</w:t>
      </w:r>
      <w:r>
        <w:t xml:space="preserve"> </w:t>
      </w:r>
      <w:r w:rsidR="004C1D8A">
        <w:t>Epoxy Masonry Compound</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lang w:eastAsia="ja-JP"/>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BE4053">
            <w:r>
              <w:t>Polyamide Resin (Trade Secret)</w:t>
            </w:r>
          </w:p>
        </w:tc>
        <w:tc>
          <w:tcPr>
            <w:tcW w:w="1068" w:type="dxa"/>
          </w:tcPr>
          <w:p w:rsidR="001C63FF" w:rsidRDefault="00BE4053" w:rsidP="00814DA2">
            <w:pPr>
              <w:jc w:val="center"/>
            </w:pPr>
            <w:r>
              <w:t>30-60</w:t>
            </w:r>
          </w:p>
        </w:tc>
        <w:tc>
          <w:tcPr>
            <w:tcW w:w="1507" w:type="dxa"/>
          </w:tcPr>
          <w:p w:rsidR="001C63FF" w:rsidRDefault="00BE4053" w:rsidP="00814DA2">
            <w:pPr>
              <w:jc w:val="center"/>
            </w:pPr>
            <w:r>
              <w:t>XXXXX</w:t>
            </w:r>
          </w:p>
        </w:tc>
      </w:tr>
      <w:tr w:rsidR="001C63FF" w:rsidTr="00BE4053">
        <w:tc>
          <w:tcPr>
            <w:tcW w:w="6332" w:type="dxa"/>
          </w:tcPr>
          <w:p w:rsidR="001C63FF" w:rsidRDefault="00BE4053">
            <w:r>
              <w:t>Benzyl Alcohol</w:t>
            </w:r>
          </w:p>
        </w:tc>
        <w:tc>
          <w:tcPr>
            <w:tcW w:w="1068" w:type="dxa"/>
          </w:tcPr>
          <w:p w:rsidR="001C63FF" w:rsidRDefault="00BE4053" w:rsidP="00814DA2">
            <w:pPr>
              <w:jc w:val="center"/>
            </w:pPr>
            <w:r>
              <w:t>15-40</w:t>
            </w:r>
          </w:p>
        </w:tc>
        <w:tc>
          <w:tcPr>
            <w:tcW w:w="1507" w:type="dxa"/>
          </w:tcPr>
          <w:p w:rsidR="001C63FF" w:rsidRDefault="00BE4053" w:rsidP="00814DA2">
            <w:pPr>
              <w:jc w:val="center"/>
            </w:pPr>
            <w:r>
              <w:t>100-51-6</w:t>
            </w:r>
          </w:p>
        </w:tc>
      </w:tr>
      <w:tr w:rsidR="001C63FF" w:rsidTr="00BE4053">
        <w:tc>
          <w:tcPr>
            <w:tcW w:w="6332" w:type="dxa"/>
          </w:tcPr>
          <w:p w:rsidR="001C63FF" w:rsidRDefault="00BE4053">
            <w:r>
              <w:t>Mixed Cycloaliphatic Amines</w:t>
            </w:r>
          </w:p>
        </w:tc>
        <w:tc>
          <w:tcPr>
            <w:tcW w:w="1068" w:type="dxa"/>
          </w:tcPr>
          <w:p w:rsidR="001C63FF" w:rsidRDefault="00BE4053" w:rsidP="00814DA2">
            <w:pPr>
              <w:jc w:val="center"/>
            </w:pPr>
            <w:r>
              <w:t>10-30</w:t>
            </w:r>
          </w:p>
        </w:tc>
        <w:tc>
          <w:tcPr>
            <w:tcW w:w="1507" w:type="dxa"/>
          </w:tcPr>
          <w:p w:rsidR="001C63FF" w:rsidRDefault="00BE4053" w:rsidP="00814DA2">
            <w:pPr>
              <w:jc w:val="center"/>
            </w:pPr>
            <w:r>
              <w:t>XXXXX</w:t>
            </w:r>
          </w:p>
        </w:tc>
      </w:tr>
      <w:tr w:rsidR="001C63FF" w:rsidTr="00BE4053">
        <w:tc>
          <w:tcPr>
            <w:tcW w:w="6332" w:type="dxa"/>
          </w:tcPr>
          <w:p w:rsidR="001C63FF" w:rsidRDefault="00BE4053">
            <w:r>
              <w:t>Triethylenetetramine (TETA)</w:t>
            </w:r>
          </w:p>
        </w:tc>
        <w:tc>
          <w:tcPr>
            <w:tcW w:w="1068" w:type="dxa"/>
          </w:tcPr>
          <w:p w:rsidR="001C63FF" w:rsidRDefault="00BE4053" w:rsidP="00814DA2">
            <w:pPr>
              <w:jc w:val="center"/>
            </w:pPr>
            <w:r>
              <w:t>4</w:t>
            </w:r>
          </w:p>
        </w:tc>
        <w:tc>
          <w:tcPr>
            <w:tcW w:w="1507" w:type="dxa"/>
          </w:tcPr>
          <w:p w:rsidR="00BE4053" w:rsidRDefault="00BE4053" w:rsidP="00814DA2">
            <w:pPr>
              <w:jc w:val="center"/>
            </w:pPr>
            <w:r>
              <w:t>112-24-3</w:t>
            </w:r>
          </w:p>
        </w:tc>
      </w:tr>
      <w:tr w:rsidR="00BE4053" w:rsidTr="00BE4053">
        <w:tc>
          <w:tcPr>
            <w:tcW w:w="6332" w:type="dxa"/>
          </w:tcPr>
          <w:p w:rsidR="00BE4053" w:rsidRDefault="00BE4053">
            <w:r>
              <w:t>Tertiary Amine</w:t>
            </w:r>
          </w:p>
        </w:tc>
        <w:tc>
          <w:tcPr>
            <w:tcW w:w="1068" w:type="dxa"/>
          </w:tcPr>
          <w:p w:rsidR="00BE4053" w:rsidRDefault="00BE4053" w:rsidP="00814DA2">
            <w:pPr>
              <w:jc w:val="center"/>
            </w:pPr>
            <w:r>
              <w:t>3-7</w:t>
            </w:r>
          </w:p>
        </w:tc>
        <w:tc>
          <w:tcPr>
            <w:tcW w:w="1507" w:type="dxa"/>
          </w:tcPr>
          <w:p w:rsidR="00BE4053" w:rsidRDefault="00BE4053" w:rsidP="00814DA2">
            <w:pPr>
              <w:jc w:val="center"/>
            </w:pPr>
            <w:r>
              <w:t>XXXXX</w:t>
            </w:r>
          </w:p>
        </w:tc>
      </w:tr>
      <w:tr w:rsidR="00BE4053" w:rsidTr="00BE4053">
        <w:tc>
          <w:tcPr>
            <w:tcW w:w="6332" w:type="dxa"/>
          </w:tcPr>
          <w:p w:rsidR="00BE4053" w:rsidRDefault="00BE4053">
            <w:r>
              <w:t>Organic Acid</w:t>
            </w:r>
          </w:p>
        </w:tc>
        <w:tc>
          <w:tcPr>
            <w:tcW w:w="1068" w:type="dxa"/>
          </w:tcPr>
          <w:p w:rsidR="00BE4053" w:rsidRDefault="00BE4053" w:rsidP="00814DA2">
            <w:pPr>
              <w:jc w:val="center"/>
            </w:pPr>
            <w:r>
              <w:t>0.5 - 1.5</w:t>
            </w:r>
          </w:p>
        </w:tc>
        <w:tc>
          <w:tcPr>
            <w:tcW w:w="1507" w:type="dxa"/>
          </w:tcPr>
          <w:p w:rsidR="00BE4053" w:rsidRDefault="00BE4053" w:rsidP="00814DA2">
            <w:pPr>
              <w:jc w:val="center"/>
            </w:pPr>
            <w:r>
              <w:t>XXXXX</w:t>
            </w:r>
          </w:p>
        </w:tc>
      </w:tr>
      <w:tr w:rsidR="00BE4053" w:rsidTr="00BE4053">
        <w:tc>
          <w:tcPr>
            <w:tcW w:w="6332" w:type="dxa"/>
          </w:tcPr>
          <w:p w:rsidR="00BE4053" w:rsidRDefault="00BE4053">
            <w:r>
              <w:t>Non Hazardous Mineral Fillers</w:t>
            </w:r>
          </w:p>
        </w:tc>
        <w:tc>
          <w:tcPr>
            <w:tcW w:w="1068" w:type="dxa"/>
          </w:tcPr>
          <w:p w:rsidR="00BE4053" w:rsidRDefault="00BE4053" w:rsidP="00814DA2">
            <w:pPr>
              <w:jc w:val="center"/>
            </w:pPr>
            <w:r>
              <w:t>7.5 - 10</w:t>
            </w:r>
          </w:p>
        </w:tc>
        <w:tc>
          <w:tcPr>
            <w:tcW w:w="1507" w:type="dxa"/>
          </w:tcPr>
          <w:p w:rsidR="00BE4053" w:rsidRDefault="00BE4053" w:rsidP="00814DA2">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C9058D" w:rsidP="001F6194">
            <w:r>
              <w:t>Benzyl Alcohol</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rPr>
                <w:vertAlign w:val="superscript"/>
              </w:rPr>
            </w:pPr>
            <w:r>
              <w:t>10</w:t>
            </w:r>
          </w:p>
        </w:tc>
        <w:tc>
          <w:tcPr>
            <w:tcW w:w="942" w:type="dxa"/>
          </w:tcPr>
          <w:p w:rsidR="00C9058D" w:rsidRPr="00C9058D" w:rsidRDefault="00C9058D" w:rsidP="003A5867">
            <w:pPr>
              <w:jc w:val="center"/>
            </w:pPr>
            <w:r w:rsidRPr="00C9058D">
              <w:t>44</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Triethylenetetramine (TETA)</w:t>
            </w:r>
          </w:p>
        </w:tc>
        <w:tc>
          <w:tcPr>
            <w:tcW w:w="720" w:type="dxa"/>
          </w:tcPr>
          <w:p w:rsidR="00C9058D" w:rsidRDefault="00C9058D" w:rsidP="008324EC">
            <w:pPr>
              <w:rPr>
                <w:b/>
              </w:rPr>
            </w:pPr>
            <w:r>
              <w:rPr>
                <w:b/>
              </w:rPr>
              <w:t>TWA</w:t>
            </w:r>
          </w:p>
        </w:tc>
        <w:tc>
          <w:tcPr>
            <w:tcW w:w="900" w:type="dxa"/>
          </w:tcPr>
          <w:p w:rsidR="00C9058D" w:rsidRDefault="00C9058D" w:rsidP="003A5867">
            <w:pPr>
              <w:jc w:val="center"/>
              <w:rPr>
                <w:b/>
              </w:rPr>
            </w:pPr>
            <w:r>
              <w:t>1</w:t>
            </w:r>
          </w:p>
        </w:tc>
        <w:tc>
          <w:tcPr>
            <w:tcW w:w="942" w:type="dxa"/>
          </w:tcPr>
          <w:p w:rsidR="00C9058D" w:rsidRDefault="00C9058D" w:rsidP="003A5867">
            <w:pPr>
              <w:jc w:val="center"/>
              <w:rPr>
                <w:b/>
              </w:rPr>
            </w:pPr>
            <w:r>
              <w:t>6</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Non Hazardous Mineral Fillers</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pPr>
          </w:p>
        </w:tc>
        <w:tc>
          <w:tcPr>
            <w:tcW w:w="942" w:type="dxa"/>
          </w:tcPr>
          <w:p w:rsidR="00C9058D" w:rsidRDefault="00C9058D" w:rsidP="003A5867">
            <w:pPr>
              <w:jc w:val="center"/>
              <w:rPr>
                <w:vertAlign w:val="superscript"/>
              </w:rPr>
            </w:pPr>
            <w:r>
              <w:t>6</w:t>
            </w:r>
          </w:p>
        </w:tc>
        <w:tc>
          <w:tcPr>
            <w:tcW w:w="678" w:type="dxa"/>
          </w:tcPr>
          <w:p w:rsidR="00C9058D" w:rsidRPr="003A5867" w:rsidRDefault="00C9058D" w:rsidP="003A5867">
            <w:pPr>
              <w:jc w:val="center"/>
            </w:pPr>
            <w:r>
              <w:rPr>
                <w:vertAlign w:val="superscript"/>
              </w:rPr>
              <w:t>[1]</w:t>
            </w:r>
          </w:p>
        </w:tc>
        <w:tc>
          <w:tcPr>
            <w:tcW w:w="810" w:type="dxa"/>
          </w:tcPr>
          <w:p w:rsidR="00C9058D" w:rsidRPr="00C9058D" w:rsidRDefault="00C9058D" w:rsidP="003A5867">
            <w:pPr>
              <w:jc w:val="center"/>
            </w:pPr>
            <w:r w:rsidRPr="00C9058D">
              <w:t>10</w:t>
            </w:r>
            <w:r>
              <w:rPr>
                <w:vertAlign w:val="superscript"/>
              </w:rPr>
              <w:t>[1]</w:t>
            </w: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lastRenderedPageBreak/>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firstRow="1" w:lastRow="0" w:firstColumn="1" w:lastColumn="0" w:noHBand="0" w:noVBand="1"/>
      </w:tblPr>
      <w:tblGrid>
        <w:gridCol w:w="2880"/>
        <w:gridCol w:w="1980"/>
        <w:gridCol w:w="2070"/>
        <w:gridCol w:w="2430"/>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9C4929" w:rsidTr="009C4929">
        <w:tc>
          <w:tcPr>
            <w:tcW w:w="2880" w:type="dxa"/>
          </w:tcPr>
          <w:p w:rsidR="009C4929" w:rsidRDefault="009C4929" w:rsidP="001F6194">
            <w:r>
              <w:t>Benzyl Alcohol</w:t>
            </w:r>
          </w:p>
        </w:tc>
        <w:tc>
          <w:tcPr>
            <w:tcW w:w="1980" w:type="dxa"/>
          </w:tcPr>
          <w:p w:rsidR="009C4929" w:rsidRPr="009F3BFA" w:rsidRDefault="009C4929" w:rsidP="001F6194">
            <w:pPr>
              <w:jc w:val="center"/>
            </w:pPr>
            <w:r w:rsidRPr="009F3BFA">
              <w:t>&gt;</w:t>
            </w:r>
            <w:r>
              <w:t>1230</w:t>
            </w:r>
            <w:r w:rsidRPr="009F3BFA">
              <w:t xml:space="preserve"> mg / kg (Rat)</w:t>
            </w:r>
          </w:p>
        </w:tc>
        <w:tc>
          <w:tcPr>
            <w:tcW w:w="2070" w:type="dxa"/>
          </w:tcPr>
          <w:p w:rsidR="009C4929" w:rsidRPr="009F3BFA" w:rsidRDefault="009C4929" w:rsidP="00C9058D">
            <w:pPr>
              <w:jc w:val="center"/>
            </w:pPr>
            <w:r>
              <w:t>2000 mg / kg (Rabbit)</w:t>
            </w:r>
          </w:p>
        </w:tc>
        <w:tc>
          <w:tcPr>
            <w:tcW w:w="2430" w:type="dxa"/>
          </w:tcPr>
          <w:p w:rsidR="009C4929" w:rsidRPr="009F3BFA" w:rsidRDefault="009C4929" w:rsidP="009F3BFA">
            <w:pPr>
              <w:jc w:val="center"/>
            </w:pPr>
            <w:r>
              <w:t>&gt; 4.178 mg/L (4h) aerosol (Rat)</w:t>
            </w:r>
          </w:p>
        </w:tc>
      </w:tr>
      <w:tr w:rsidR="009C4929" w:rsidTr="009C4929">
        <w:tc>
          <w:tcPr>
            <w:tcW w:w="2880" w:type="dxa"/>
          </w:tcPr>
          <w:p w:rsidR="009C4929" w:rsidRDefault="009C4929" w:rsidP="001F6194">
            <w:r>
              <w:t>Mixed Cycloaliphatic Amines</w:t>
            </w:r>
          </w:p>
        </w:tc>
        <w:tc>
          <w:tcPr>
            <w:tcW w:w="1980" w:type="dxa"/>
          </w:tcPr>
          <w:p w:rsidR="009C4929" w:rsidRDefault="009C4929" w:rsidP="001F6194"/>
        </w:tc>
        <w:tc>
          <w:tcPr>
            <w:tcW w:w="2070" w:type="dxa"/>
          </w:tcPr>
          <w:p w:rsidR="009C4929" w:rsidRPr="009F3BFA" w:rsidRDefault="009C4929" w:rsidP="009F3BFA">
            <w:pPr>
              <w:jc w:val="center"/>
            </w:pPr>
            <w:r>
              <w:t>&gt;1000 mg/kg</w:t>
            </w:r>
          </w:p>
        </w:tc>
        <w:tc>
          <w:tcPr>
            <w:tcW w:w="2430" w:type="dxa"/>
          </w:tcPr>
          <w:p w:rsidR="009C4929" w:rsidRPr="009F3BFA" w:rsidRDefault="009C4929" w:rsidP="009F3BFA">
            <w:pPr>
              <w:jc w:val="center"/>
            </w:pPr>
          </w:p>
        </w:tc>
      </w:tr>
      <w:tr w:rsidR="009C4929" w:rsidTr="009C4929">
        <w:tc>
          <w:tcPr>
            <w:tcW w:w="2880" w:type="dxa"/>
          </w:tcPr>
          <w:p w:rsidR="009C4929" w:rsidRDefault="009C4929" w:rsidP="001F6194">
            <w:r>
              <w:t>Triethylenetetramine (TETA)</w:t>
            </w:r>
          </w:p>
        </w:tc>
        <w:tc>
          <w:tcPr>
            <w:tcW w:w="1980" w:type="dxa"/>
          </w:tcPr>
          <w:p w:rsidR="009C4929" w:rsidRDefault="009C4929" w:rsidP="001F6194">
            <w:r>
              <w:t>2500 mg / kg (Rat)</w:t>
            </w:r>
          </w:p>
        </w:tc>
        <w:tc>
          <w:tcPr>
            <w:tcW w:w="2070" w:type="dxa"/>
          </w:tcPr>
          <w:p w:rsidR="009C4929" w:rsidRDefault="009C4929" w:rsidP="009F3BFA">
            <w:pPr>
              <w:jc w:val="center"/>
            </w:pPr>
            <w:r>
              <w:t>550 mg / kg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Tertiary Amine</w:t>
            </w:r>
          </w:p>
        </w:tc>
        <w:tc>
          <w:tcPr>
            <w:tcW w:w="1980" w:type="dxa"/>
          </w:tcPr>
          <w:p w:rsidR="009C4929" w:rsidRDefault="009C4929" w:rsidP="001F6194"/>
        </w:tc>
        <w:tc>
          <w:tcPr>
            <w:tcW w:w="2070" w:type="dxa"/>
          </w:tcPr>
          <w:p w:rsidR="009C4929" w:rsidRDefault="009C4929" w:rsidP="009F3BFA">
            <w:pPr>
              <w:jc w:val="center"/>
            </w:pPr>
            <w:r>
              <w:t>1242 mg / kg (dermal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Non Hazardous Mineral Fillers</w:t>
            </w:r>
          </w:p>
        </w:tc>
        <w:tc>
          <w:tcPr>
            <w:tcW w:w="1980" w:type="dxa"/>
          </w:tcPr>
          <w:p w:rsidR="009C4929" w:rsidRDefault="009C4929" w:rsidP="001F6194">
            <w:r>
              <w:t>&gt;5000 mg / kg (Rat)</w:t>
            </w:r>
          </w:p>
        </w:tc>
        <w:tc>
          <w:tcPr>
            <w:tcW w:w="2070" w:type="dxa"/>
          </w:tcPr>
          <w:p w:rsidR="009C4929" w:rsidRDefault="009C4929" w:rsidP="009F3BFA">
            <w:pPr>
              <w:jc w:val="center"/>
            </w:pPr>
            <w:r>
              <w:t>&gt; 5000 mg / kg (dermal rabbit)</w:t>
            </w:r>
          </w:p>
        </w:tc>
        <w:tc>
          <w:tcPr>
            <w:tcW w:w="2430" w:type="dxa"/>
          </w:tcPr>
          <w:p w:rsidR="009C4929" w:rsidRDefault="009C4929"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lastRenderedPageBreak/>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lastRenderedPageBreak/>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firstRow="1" w:lastRow="0" w:firstColumn="1" w:lastColumn="0" w:noHBand="0" w:noVBand="1"/>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75" w:rsidRDefault="00AF4275" w:rsidP="00D00B10">
      <w:pPr>
        <w:spacing w:after="0" w:line="240" w:lineRule="auto"/>
      </w:pPr>
      <w:r>
        <w:separator/>
      </w:r>
    </w:p>
  </w:endnote>
  <w:endnote w:type="continuationSeparator" w:id="0">
    <w:p w:rsidR="00AF4275" w:rsidRDefault="00AF4275"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F6194" w:rsidRDefault="001F6194">
            <w:pPr>
              <w:pStyle w:val="Footer"/>
              <w:jc w:val="center"/>
            </w:pPr>
            <w:r>
              <w:t xml:space="preserve">Page </w:t>
            </w:r>
            <w:r w:rsidR="00AB16EA">
              <w:rPr>
                <w:b/>
                <w:sz w:val="24"/>
                <w:szCs w:val="24"/>
              </w:rPr>
              <w:fldChar w:fldCharType="begin"/>
            </w:r>
            <w:r>
              <w:rPr>
                <w:b/>
              </w:rPr>
              <w:instrText xml:space="preserve"> PAGE </w:instrText>
            </w:r>
            <w:r w:rsidR="00AB16EA">
              <w:rPr>
                <w:b/>
                <w:sz w:val="24"/>
                <w:szCs w:val="24"/>
              </w:rPr>
              <w:fldChar w:fldCharType="separate"/>
            </w:r>
            <w:r w:rsidR="00F96586">
              <w:rPr>
                <w:b/>
                <w:noProof/>
              </w:rPr>
              <w:t>1</w:t>
            </w:r>
            <w:r w:rsidR="00AB16EA">
              <w:rPr>
                <w:b/>
                <w:sz w:val="24"/>
                <w:szCs w:val="24"/>
              </w:rPr>
              <w:fldChar w:fldCharType="end"/>
            </w:r>
            <w:r>
              <w:t xml:space="preserve"> of </w:t>
            </w:r>
            <w:r w:rsidR="00AB16EA">
              <w:rPr>
                <w:b/>
                <w:sz w:val="24"/>
                <w:szCs w:val="24"/>
              </w:rPr>
              <w:fldChar w:fldCharType="begin"/>
            </w:r>
            <w:r>
              <w:rPr>
                <w:b/>
              </w:rPr>
              <w:instrText xml:space="preserve"> NUMPAGES  </w:instrText>
            </w:r>
            <w:r w:rsidR="00AB16EA">
              <w:rPr>
                <w:b/>
                <w:sz w:val="24"/>
                <w:szCs w:val="24"/>
              </w:rPr>
              <w:fldChar w:fldCharType="separate"/>
            </w:r>
            <w:r w:rsidR="00F96586">
              <w:rPr>
                <w:b/>
                <w:noProof/>
              </w:rPr>
              <w:t>7</w:t>
            </w:r>
            <w:r w:rsidR="00AB16EA">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75" w:rsidRDefault="00AF4275" w:rsidP="00D00B10">
      <w:pPr>
        <w:spacing w:after="0" w:line="240" w:lineRule="auto"/>
      </w:pPr>
      <w:r>
        <w:separator/>
      </w:r>
    </w:p>
  </w:footnote>
  <w:footnote w:type="continuationSeparator" w:id="0">
    <w:p w:rsidR="00AF4275" w:rsidRDefault="00AF4275"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4" w:rsidRPr="00D00B10" w:rsidRDefault="001F619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Material Identity: Fasco #</w:t>
    </w:r>
    <w:r w:rsidR="004C1D8A">
      <w:rPr>
        <w:rFonts w:ascii="Arial" w:hAnsi="Arial" w:cs="Arial"/>
        <w:b/>
        <w:sz w:val="24"/>
      </w:rPr>
      <w:t>7</w:t>
    </w:r>
    <w:r w:rsidR="00244667">
      <w:rPr>
        <w:rFonts w:ascii="Arial" w:hAnsi="Arial" w:cs="Arial"/>
        <w:b/>
        <w:sz w:val="24"/>
      </w:rPr>
      <w:t xml:space="preserve"> Fas-</w:t>
    </w:r>
    <w:r w:rsidR="004C1D8A">
      <w:rPr>
        <w:rFonts w:ascii="Arial" w:hAnsi="Arial" w:cs="Arial"/>
        <w:b/>
        <w:sz w:val="24"/>
      </w:rPr>
      <w:t>Stone</w:t>
    </w:r>
    <w:r w:rsidR="004C7F75">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D736B"/>
    <w:rsid w:val="000F77F4"/>
    <w:rsid w:val="001C63FF"/>
    <w:rsid w:val="001F6194"/>
    <w:rsid w:val="00244667"/>
    <w:rsid w:val="002D0ADD"/>
    <w:rsid w:val="003645E5"/>
    <w:rsid w:val="003A5867"/>
    <w:rsid w:val="0044112D"/>
    <w:rsid w:val="00442DF3"/>
    <w:rsid w:val="004C1D8A"/>
    <w:rsid w:val="004C7F75"/>
    <w:rsid w:val="004D7153"/>
    <w:rsid w:val="006162B2"/>
    <w:rsid w:val="00642F76"/>
    <w:rsid w:val="006F59BD"/>
    <w:rsid w:val="007B674D"/>
    <w:rsid w:val="007D3629"/>
    <w:rsid w:val="00814DA2"/>
    <w:rsid w:val="00826206"/>
    <w:rsid w:val="008324EC"/>
    <w:rsid w:val="00915CF9"/>
    <w:rsid w:val="00940B91"/>
    <w:rsid w:val="009819E4"/>
    <w:rsid w:val="009C4929"/>
    <w:rsid w:val="009C705F"/>
    <w:rsid w:val="009F3BFA"/>
    <w:rsid w:val="00A23717"/>
    <w:rsid w:val="00AB16EA"/>
    <w:rsid w:val="00AE4C6C"/>
    <w:rsid w:val="00AF4275"/>
    <w:rsid w:val="00BB478E"/>
    <w:rsid w:val="00BE4053"/>
    <w:rsid w:val="00C9058D"/>
    <w:rsid w:val="00CA2C66"/>
    <w:rsid w:val="00D00B10"/>
    <w:rsid w:val="00DF2CE8"/>
    <w:rsid w:val="00EA6893"/>
    <w:rsid w:val="00F92DDE"/>
    <w:rsid w:val="00F96586"/>
    <w:rsid w:val="00FA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DB6F6-5FC8-4D62-A308-844186C6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1F9DE-A066-4D4F-818E-7AA40D70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Fiberglass</dc:creator>
  <cp:lastModifiedBy>David Novotny</cp:lastModifiedBy>
  <cp:revision>11</cp:revision>
  <cp:lastPrinted>2016-07-29T18:12:00Z</cp:lastPrinted>
  <dcterms:created xsi:type="dcterms:W3CDTF">2015-12-30T20:27:00Z</dcterms:created>
  <dcterms:modified xsi:type="dcterms:W3CDTF">2016-07-29T18:12:00Z</dcterms:modified>
</cp:coreProperties>
</file>