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9143C8">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proofErr w:type="spellStart"/>
      <w:r w:rsidR="00933FDE">
        <w:t>Fasco</w:t>
      </w:r>
      <w:proofErr w:type="spellEnd"/>
      <w:r w:rsidR="00933FDE">
        <w:t xml:space="preserve"> #</w:t>
      </w:r>
      <w:r w:rsidR="00E3183D">
        <w:t xml:space="preserve">9XC </w:t>
      </w:r>
      <w:proofErr w:type="spellStart"/>
      <w:r w:rsidR="00E3183D">
        <w:t>Steelflex</w:t>
      </w:r>
      <w:proofErr w:type="spellEnd"/>
      <w:r w:rsidR="00E3183D">
        <w:t xml:space="preserve"> Clear</w:t>
      </w:r>
      <w:r w:rsidR="00706051">
        <w:t xml:space="preserve"> </w:t>
      </w:r>
      <w:r w:rsidR="00E3415A">
        <w:t xml:space="preserve">Part </w:t>
      </w:r>
      <w:r w:rsidR="001F23BB">
        <w:t>1</w:t>
      </w:r>
    </w:p>
    <w:p w:rsidR="001F23BB" w:rsidRDefault="002D0ADD" w:rsidP="002D0ADD">
      <w:pPr>
        <w:tabs>
          <w:tab w:val="left" w:pos="2350"/>
        </w:tabs>
        <w:spacing w:after="0" w:line="240" w:lineRule="auto"/>
      </w:pPr>
      <w:r w:rsidRPr="002D0ADD">
        <w:rPr>
          <w:b/>
        </w:rPr>
        <w:t>PRODUCT CODE:</w:t>
      </w:r>
      <w:r w:rsidRPr="002D0ADD">
        <w:t xml:space="preserve"> </w:t>
      </w:r>
      <w:r w:rsidR="00667650">
        <w:t>F</w:t>
      </w:r>
      <w:r w:rsidR="00E3183D">
        <w:t>9XC</w:t>
      </w:r>
      <w:r w:rsidR="001F23BB">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581F16"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proofErr w:type="spellStart"/>
            <w:r>
              <w:t>Bisphenol</w:t>
            </w:r>
            <w:proofErr w:type="spellEnd"/>
            <w:r>
              <w:t>-A</w:t>
            </w:r>
          </w:p>
        </w:tc>
        <w:tc>
          <w:tcPr>
            <w:tcW w:w="1068" w:type="dxa"/>
          </w:tcPr>
          <w:p w:rsidR="001C63FF" w:rsidRDefault="00DD1C3B" w:rsidP="00DD1C3B">
            <w:pPr>
              <w:jc w:val="center"/>
            </w:pPr>
            <w:r>
              <w:t>7</w:t>
            </w:r>
            <w:r w:rsidR="00123F6E">
              <w:t>0-</w:t>
            </w:r>
            <w:r>
              <w:t>80</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DD1C3B" w:rsidP="00DD1C3B">
            <w:pPr>
              <w:jc w:val="center"/>
            </w:pPr>
            <w:r>
              <w:t>20</w:t>
            </w:r>
            <w:r w:rsidR="00123F6E">
              <w:t>-</w:t>
            </w:r>
            <w:r>
              <w:t>30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 xml:space="preserve">Combustion products may include but are not limited to: </w:t>
      </w:r>
      <w:proofErr w:type="spellStart"/>
      <w:r w:rsidR="00123F6E">
        <w:t>phenolics</w:t>
      </w:r>
      <w:proofErr w:type="spellEnd"/>
      <w:r w:rsidR="00123F6E">
        <w:t>,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 xml:space="preserve">Avoid prolonged or repeated contact with </w:t>
      </w:r>
      <w:proofErr w:type="spellStart"/>
      <w:r w:rsidR="005A5EEE">
        <w:t>skinl</w:t>
      </w:r>
      <w:proofErr w:type="spellEnd"/>
      <w:r w:rsidR="005A5EEE">
        <w:t xml:space="preserve">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proofErr w:type="spellStart"/>
            <w:r>
              <w:t>Bisphenol</w:t>
            </w:r>
            <w:proofErr w:type="spellEnd"/>
            <w:r>
              <w:t>-A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proofErr w:type="spellStart"/>
      <w:r w:rsidR="00933FDE">
        <w:t>Avids</w:t>
      </w:r>
      <w:proofErr w:type="spellEnd"/>
      <w:r w:rsidR="00933FDE">
        <w:t>,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proofErr w:type="spellStart"/>
      <w:r>
        <w:t>Bisphenol</w:t>
      </w:r>
      <w:proofErr w:type="spellEnd"/>
      <w:r>
        <w:t>-A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proofErr w:type="spellStart"/>
      <w:r>
        <w:t>Monononylphenol</w:t>
      </w:r>
      <w:proofErr w:type="spellEnd"/>
      <w:r>
        <w:t>: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 xml:space="preserve">Environmentally hazardous substance, liquid, </w:t>
      </w:r>
      <w:proofErr w:type="spellStart"/>
      <w:r w:rsidR="00933FDE">
        <w:t>n.o.s</w:t>
      </w:r>
      <w:proofErr w:type="spellEnd"/>
      <w:r w:rsidR="00933FDE">
        <w:t xml:space="preserve">. (Contains </w:t>
      </w:r>
      <w:proofErr w:type="spellStart"/>
      <w:r w:rsidR="00933FDE">
        <w:t>Bisphenol</w:t>
      </w:r>
      <w:proofErr w:type="spellEnd"/>
      <w:r w:rsidR="00933FDE">
        <w:t>-A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52E" w:rsidRDefault="0076552E" w:rsidP="00D00B10">
      <w:pPr>
        <w:spacing w:after="0" w:line="240" w:lineRule="auto"/>
      </w:pPr>
      <w:r>
        <w:separator/>
      </w:r>
    </w:p>
  </w:endnote>
  <w:endnote w:type="continuationSeparator" w:id="0">
    <w:p w:rsidR="0076552E" w:rsidRDefault="0076552E"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581F16">
              <w:rPr>
                <w:b/>
                <w:sz w:val="24"/>
                <w:szCs w:val="24"/>
              </w:rPr>
              <w:fldChar w:fldCharType="begin"/>
            </w:r>
            <w:r>
              <w:rPr>
                <w:b/>
              </w:rPr>
              <w:instrText xml:space="preserve"> PAGE </w:instrText>
            </w:r>
            <w:r w:rsidR="00581F16">
              <w:rPr>
                <w:b/>
                <w:sz w:val="24"/>
                <w:szCs w:val="24"/>
              </w:rPr>
              <w:fldChar w:fldCharType="separate"/>
            </w:r>
            <w:r w:rsidR="009143C8">
              <w:rPr>
                <w:b/>
                <w:noProof/>
              </w:rPr>
              <w:t>1</w:t>
            </w:r>
            <w:r w:rsidR="00581F16">
              <w:rPr>
                <w:b/>
                <w:sz w:val="24"/>
                <w:szCs w:val="24"/>
              </w:rPr>
              <w:fldChar w:fldCharType="end"/>
            </w:r>
            <w:r>
              <w:t xml:space="preserve"> of </w:t>
            </w:r>
            <w:r w:rsidR="00581F16">
              <w:rPr>
                <w:b/>
                <w:sz w:val="24"/>
                <w:szCs w:val="24"/>
              </w:rPr>
              <w:fldChar w:fldCharType="begin"/>
            </w:r>
            <w:r>
              <w:rPr>
                <w:b/>
              </w:rPr>
              <w:instrText xml:space="preserve"> NUMPAGES  </w:instrText>
            </w:r>
            <w:r w:rsidR="00581F16">
              <w:rPr>
                <w:b/>
                <w:sz w:val="24"/>
                <w:szCs w:val="24"/>
              </w:rPr>
              <w:fldChar w:fldCharType="separate"/>
            </w:r>
            <w:r w:rsidR="009143C8">
              <w:rPr>
                <w:b/>
                <w:noProof/>
              </w:rPr>
              <w:t>6</w:t>
            </w:r>
            <w:r w:rsidR="00581F16">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52E" w:rsidRDefault="0076552E" w:rsidP="00D00B10">
      <w:pPr>
        <w:spacing w:after="0" w:line="240" w:lineRule="auto"/>
      </w:pPr>
      <w:r>
        <w:separator/>
      </w:r>
    </w:p>
  </w:footnote>
  <w:footnote w:type="continuationSeparator" w:id="0">
    <w:p w:rsidR="0076552E" w:rsidRDefault="0076552E"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sidR="00667650">
      <w:rPr>
        <w:rFonts w:ascii="Arial" w:hAnsi="Arial" w:cs="Arial"/>
        <w:b/>
        <w:sz w:val="24"/>
      </w:rPr>
      <w:t>Fasco</w:t>
    </w:r>
    <w:proofErr w:type="spellEnd"/>
    <w:r w:rsidR="00667650">
      <w:rPr>
        <w:rFonts w:ascii="Arial" w:hAnsi="Arial" w:cs="Arial"/>
        <w:b/>
        <w:sz w:val="24"/>
      </w:rPr>
      <w:t xml:space="preserve"> #</w:t>
    </w:r>
    <w:r w:rsidR="00E3183D">
      <w:rPr>
        <w:rFonts w:ascii="Arial" w:hAnsi="Arial" w:cs="Arial"/>
        <w:b/>
        <w:sz w:val="24"/>
      </w:rPr>
      <w:t>9XC</w:t>
    </w:r>
    <w:r w:rsidR="00764665">
      <w:rPr>
        <w:rFonts w:ascii="Arial" w:hAnsi="Arial" w:cs="Arial"/>
        <w:b/>
        <w:sz w:val="24"/>
      </w:rPr>
      <w:t xml:space="preserve"> </w:t>
    </w:r>
    <w:proofErr w:type="spellStart"/>
    <w:r w:rsidR="00E3183D">
      <w:rPr>
        <w:rFonts w:ascii="Arial" w:hAnsi="Arial" w:cs="Arial"/>
        <w:b/>
        <w:sz w:val="24"/>
      </w:rPr>
      <w:t>Steelflex</w:t>
    </w:r>
    <w:proofErr w:type="spellEnd"/>
    <w:r w:rsidR="00350A39">
      <w:rPr>
        <w:rFonts w:ascii="Arial" w:hAnsi="Arial" w:cs="Arial"/>
        <w:b/>
        <w:sz w:val="24"/>
      </w:rPr>
      <w:t xml:space="preserve"> </w:t>
    </w:r>
    <w:r w:rsidR="00E3183D">
      <w:rPr>
        <w:rFonts w:ascii="Arial" w:hAnsi="Arial" w:cs="Arial"/>
        <w:b/>
        <w:sz w:val="24"/>
      </w:rPr>
      <w:t xml:space="preserve">Clear </w:t>
    </w:r>
    <w:r>
      <w:rPr>
        <w:rFonts w:ascii="Arial" w:hAnsi="Arial" w:cs="Arial"/>
        <w:b/>
        <w:sz w:val="24"/>
      </w:rPr>
      <w:t xml:space="preserve">Part </w:t>
    </w:r>
    <w:r w:rsidR="001F23BB">
      <w:rPr>
        <w:rFonts w:ascii="Arial" w:hAnsi="Arial" w:cs="Arial"/>
        <w:b/>
        <w:sz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D00B10"/>
    <w:rsid w:val="00083CBD"/>
    <w:rsid w:val="000D736B"/>
    <w:rsid w:val="000F77F4"/>
    <w:rsid w:val="001116FA"/>
    <w:rsid w:val="00123F6E"/>
    <w:rsid w:val="00172825"/>
    <w:rsid w:val="00186E77"/>
    <w:rsid w:val="001C63FF"/>
    <w:rsid w:val="001F23BB"/>
    <w:rsid w:val="0020693F"/>
    <w:rsid w:val="00215974"/>
    <w:rsid w:val="002C5DBE"/>
    <w:rsid w:val="002D0ADD"/>
    <w:rsid w:val="002F2837"/>
    <w:rsid w:val="00350A39"/>
    <w:rsid w:val="003A5867"/>
    <w:rsid w:val="003B012A"/>
    <w:rsid w:val="004360D6"/>
    <w:rsid w:val="00486F29"/>
    <w:rsid w:val="004E204C"/>
    <w:rsid w:val="004F72DB"/>
    <w:rsid w:val="00547502"/>
    <w:rsid w:val="00581F16"/>
    <w:rsid w:val="005A3F5B"/>
    <w:rsid w:val="005A5EEE"/>
    <w:rsid w:val="00642F76"/>
    <w:rsid w:val="00667650"/>
    <w:rsid w:val="00673DD8"/>
    <w:rsid w:val="00706051"/>
    <w:rsid w:val="00764665"/>
    <w:rsid w:val="0076552E"/>
    <w:rsid w:val="007B674D"/>
    <w:rsid w:val="00814DA2"/>
    <w:rsid w:val="008324EC"/>
    <w:rsid w:val="008348FD"/>
    <w:rsid w:val="00870823"/>
    <w:rsid w:val="009143C8"/>
    <w:rsid w:val="00915A42"/>
    <w:rsid w:val="00923417"/>
    <w:rsid w:val="00933FDE"/>
    <w:rsid w:val="009C705F"/>
    <w:rsid w:val="009D0481"/>
    <w:rsid w:val="009F3BFA"/>
    <w:rsid w:val="009F5CA5"/>
    <w:rsid w:val="00AD18AE"/>
    <w:rsid w:val="00B4105B"/>
    <w:rsid w:val="00CA0563"/>
    <w:rsid w:val="00D00B10"/>
    <w:rsid w:val="00DA38AE"/>
    <w:rsid w:val="00DD1C3B"/>
    <w:rsid w:val="00E243EA"/>
    <w:rsid w:val="00E3183D"/>
    <w:rsid w:val="00E3415A"/>
    <w:rsid w:val="00E37EF3"/>
    <w:rsid w:val="00E41D5E"/>
    <w:rsid w:val="00F22C46"/>
    <w:rsid w:val="00F8442D"/>
    <w:rsid w:val="00FE582D"/>
    <w:rsid w:val="00FF4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69676-F86B-4B2A-B2E4-A849ACA5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8</cp:revision>
  <cp:lastPrinted>2016-01-06T13:50:00Z</cp:lastPrinted>
  <dcterms:created xsi:type="dcterms:W3CDTF">2015-12-30T14:53:00Z</dcterms:created>
  <dcterms:modified xsi:type="dcterms:W3CDTF">2016-01-06T18:55:00Z</dcterms:modified>
</cp:coreProperties>
</file>